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F1E" w:rsidRPr="00304F1E" w:rsidRDefault="00304F1E" w:rsidP="00304F1E">
      <w:pPr>
        <w:spacing w:after="0" w:line="240" w:lineRule="auto"/>
        <w:jc w:val="both"/>
        <w:rPr>
          <w:rFonts w:ascii="Times New Roman" w:hAnsi="Times New Roman" w:cs="Times New Roman"/>
          <w:sz w:val="24"/>
          <w:szCs w:val="24"/>
        </w:rPr>
      </w:pPr>
      <w:bookmarkStart w:id="0" w:name="_GoBack"/>
      <w:bookmarkEnd w:id="0"/>
      <w:r w:rsidRPr="00304F1E">
        <w:rPr>
          <w:rFonts w:ascii="Times New Roman" w:hAnsi="Times New Roman" w:cs="Times New Roman"/>
          <w:sz w:val="24"/>
          <w:szCs w:val="24"/>
        </w:rPr>
        <w:t>Rol Nº 2.330–2005.</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Santiago, veintiocho de enero de dos mil diez.</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Vistos:</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 xml:space="preserve">En estos autos Rol Nº 6.497–2002 del 20º Juzgado Civil de Santiago, juicio ordinario de indemnización de perjuicios, seguidos por don Javier Albornoz Sepúlveda en representación de doña María Magali Canales Valenzuela y de su hija menor de edad Camila Alejandra Palma Canales, de don </w:t>
      </w:r>
      <w:proofErr w:type="spellStart"/>
      <w:r w:rsidRPr="00304F1E">
        <w:rPr>
          <w:rFonts w:ascii="Times New Roman" w:hAnsi="Times New Roman" w:cs="Times New Roman"/>
          <w:sz w:val="24"/>
          <w:szCs w:val="24"/>
        </w:rPr>
        <w:t>Edwison</w:t>
      </w:r>
      <w:proofErr w:type="spellEnd"/>
      <w:r w:rsidRPr="00304F1E">
        <w:rPr>
          <w:rFonts w:ascii="Times New Roman" w:hAnsi="Times New Roman" w:cs="Times New Roman"/>
          <w:sz w:val="24"/>
          <w:szCs w:val="24"/>
        </w:rPr>
        <w:t xml:space="preserve"> Antonio Palma Canales y de doña Ángela Marisol Palma Canales, en contra de la sociedad denominada Ruta Cinco Tramo Talca Chillán S.A. y del Fisco de Chile, se dictó sentencia de primera instancia por la juez suplente de ese tribunal por la que se acogió la demanda sólo en cuanto se condena a la referida sociedad a pagar a los actores la suma única y total ascendente a $102.237.554 y se la rechaza en cuanto se dirige en contra del Fisco de Chile.</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En contra de dicha sentencia la demandada sociedad Ruta Cinco Tramo Talca Chillán S.A. interpuso recurso de apelación, en tanto la parte demandante dedujo recursos de casación en la forma y de apelación.</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La Corte de Apelaciones de Santiago rechazó el recurso de nulidad formal y confirmó la sentencia con declaración de que la demandada sociedad Ruta 5 Tramo Talca Chillán S.A. queda condenada.</w:t>
      </w: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En contra de esta última decisión la parte demandante interpuso recurso de casación en la forma y la demandada sociedad Ruta 5 Tramo Talca Chillán S.A. dedujo recursos de casación en la forma y en el fondo.</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Se trajeron los autos en relación.</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CONSIDERANDO:</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En cuanto al recurso de casación en el fondo deducido por la parte demandada Sociedad Ruta Cinco Tramo Talca Chillón S.A.</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 xml:space="preserve"> Que en un primer capítulo del recurso de nulidad sustancial se acusa la violación de normas reguladoras de la prueba.</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En primer término aduce que se vulnera el artículo 1698 del Código Civil, lo que se produce porque se libera al actor de la obligación de rendir prueba sobre la existencia de una participación culpable de su parte y acerca de la relación causal entre los daños y esa participación. Manifiesta que se trate de responsabilidad objetiva o subjetiva, es el actor quien debe probar que el demandado infringió las normas legales y contractuales a las cuales debe someter su actuar, que ha obrado con negligencia, que se irrogó un perjuicio y la existencia del vínculo causal.</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lastRenderedPageBreak/>
        <w:t>En esta misma sección aduce que se transgredieron los artículos 1700, 1702 y 1703 del Código Civil al omitir considerar el valor probatorio que la ley le asigna a los documentos, en relación con los artículos 342 Nº 3 y 346 Nº 3 del Código de Procedimiento Civil.</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En primer lugar se refiere a documentos relativos a la participación de su parte, causa basal y la inexistencia del nexo causal, adicionalmente al caso fortuito alegado. Nombra los siguientes instrumentos: copias del expediente instruido por el Ministerio Público e informe del SIAT, los que hacen plena prueba acerca de que la causa basal del accidente se debió a la intromisión de los caballos, como consecuencia de un acto de quien los ingresó a tiro a la vía minutos antes del accidente.</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 xml:space="preserve">Enseguida, se refiere a documentos que guardan relación con la naturaleza y extensión de las obligaciones que le cabe a la concesionaria conforme al contrato de concesión. </w:t>
      </w: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Afirma que las bases de licitación son concordantes en este sentido, las que acreditan que se ajustó al proyecto que no consideraba la construcción de las barreras; por ende, no incurrió en su incumplimiento; y si no le era exigible impedir el ingreso de animales, menos le era exigible controlar acciones de terceros.</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 xml:space="preserve"> Que en un segundo grupo de disposiciones legales infringidas el recurrente menciona los artículos 1545 y 1445 del Código Civil, en relación con los artículos 1547, 1553, 1556 y 1558 del mismo cuerpo legal en lo que respecta a la responsabilidad contractual, artículos 2314 a 2334 del mismo Código en lo que concierne a la responsabilidad extracontractual y artículos 21 y 35 de la Ley de Concesiones de Obras Públicas.</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Hace presente que el fallo atacado parte de la base de que el contrato de concesión y las bases de licitación establecen un tipo de responsabilidad objetiva que prescinde del factor de imputación o juicio de reproche. Apunta que el yerro se manifiesta al advertir que no pueden las partes del aludido contrato transformar la responsabilidad subjetiva en objetiva a favor de terceros.</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 xml:space="preserve">Indica que lo anterior se demuestra con las siguientes argumentaciones: 1) El contrato tiene efecto relativo, de acuerdo al artículo 1545 del Código Civil; 2) Su parte se obligó para con la administración y no para con los usuarios, por lo que se infringe el artículo 1445 del mismo cuerpo normativo al extender a los usuarios las obligaciones asumidas con el Ministerio de Obras Públicas. Destaca que no es posible delegar la responsabilidad objetiva que puede existir entre el concesionario y el ente público, ni interpretar extensivamente las disposiciones legales de excepción que consagran casos de responsabilidad objetiva; 3) En cuanto a los artículos 1547, 1553, 1556 y 1558 del Código de Bello, éstos exigen para que exista responsabilidad contractual la concurrencia de un factor de imputación (dolo o culpa) y por ello no se puede imponer responsabilidad sin que se haya incurrido en una acción reprochable; 4) De acuerdo a los artículos 2314 a 2334 del Código Civil la responsabilidad extracontractual exige un factor de imputación subjetivo; 5) Fundado en el artículo 21 del D.F.L. 164 puede sostenerse que la responsabilidad del concesionario para con la administración es objetiva; empero, no sucede lo mismo con los terceros vinculados jurídicamente con el concesionario según se desprende del inciso 2º. Anota que esta interpretación se refuerza en virtud de lo señalado por el artículo 35 de la misma ley, ya que no alude ni a la responsabilidad subjetiva ni a la objetiva; 6) No es dable a las partes de un </w:t>
      </w:r>
      <w:r w:rsidRPr="00304F1E">
        <w:rPr>
          <w:rFonts w:ascii="Times New Roman" w:hAnsi="Times New Roman" w:cs="Times New Roman"/>
          <w:sz w:val="24"/>
          <w:szCs w:val="24"/>
        </w:rPr>
        <w:lastRenderedPageBreak/>
        <w:t>contrato de obra pública establecer un régimen de responsabilidad objetiva a favor de los usuarios, porque este tipo de responsabilidad sólo puede estar consagrado en la ley y no en la convención; 7) No es posible transferir a los concesionarios una supuesta responsabilidad objetiva que se dice pesa sobre el Estado por falta de servicio; 8) El hecho que causó el daño proviene de la acción de un tercero, que consistió en introducir a la vía animales y llevarlos contra el sentido del tránsito. En este sentido destaca que el concesionario, cualquiera haya sido su capacidad de previsibilidad y las medidas adoptadas, estaba en imposibilidad de evitar el daño; 9) La responsabilidad objetiva para la doctrina y jurisprudencia está fundada en el riesgo, en la creación de un ámbito fáctico en que aumentan las posibilidades de sufrir un daño de acuerdo al desarrollo normal de las cosas. Agrega que este régimen es excepcional. Señala que en el sistema de concesiones ocurre lo contrario, el riesgo de sufrir un perjuicio disminuye considerablemente por la naturaleza de la obra concesionada y las medidas de seguridad impuestas en la ley y en los contratos. Desde esta perspectiva, afirma que la sentencia infringe la doctrina y la jurisprudencia.</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 xml:space="preserve"> Que en un tercer capítulo de la impugnación sustancial se acusa la vulneración de los artículos 19, 20 y 22 del Código Civil en relación con los artículos 21 inciso 2º, 23 y 35 de la Ley de Concesiones de Obras Públicas y los artículos 1437, 2284 y 2314 del Código Civil.</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 xml:space="preserve">Principia indicando que se infringe el inciso 2º del artículo 21 del D.F.L. al no considerar que </w:t>
      </w:r>
      <w:proofErr w:type="gramStart"/>
      <w:r w:rsidRPr="00304F1E">
        <w:rPr>
          <w:rFonts w:ascii="Times New Roman" w:hAnsi="Times New Roman" w:cs="Times New Roman"/>
          <w:sz w:val="24"/>
          <w:szCs w:val="24"/>
        </w:rPr>
        <w:t>distingue</w:t>
      </w:r>
      <w:proofErr w:type="gramEnd"/>
      <w:r w:rsidRPr="00304F1E">
        <w:rPr>
          <w:rFonts w:ascii="Times New Roman" w:hAnsi="Times New Roman" w:cs="Times New Roman"/>
          <w:sz w:val="24"/>
          <w:szCs w:val="24"/>
        </w:rPr>
        <w:t xml:space="preserve"> en la regulación su relación con su contraparte en el contrato y los usuarios. En este sentido sostiene que su relación con el Ministerio de Obras Públicas se rige por normas de derecho público, debiendo cumplir las obligaciones que le impone el contrato, lo que se traduce en construir la obra de acuerdo a los planos, proyectos y especificaciones técnicas y en la fase de explotación garantizar un acceso igualitario al servicio y su funcionamiento, en tanto que sus relaciones con los usuarios se rigen por el derecho privado.</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Postula que el artículo 35 de la misma Ley no regula la responsabilidad de la concesionaria para con los usuarios, sino que norma quién dentro de la relación contractual con el Ministerio de Obras Públicas será responsable entre ellos respecto de un hecho u omisión que con culpa haya causado daño a un particular. Resalta que el precepto no consagra un régimen de responsabilidad objetiva, sino que distribuye las responsabilidades internas entre concesionario y el Ministerio en términos que si existe un hecho del cual surja responsabilidad conforme al sistema general de responsabilidad subjetiva, las consecuencias que se deriven de tal hecho deben ser soportadas por aquél a menos que el daño se deba a medidas impuestas por la referida cartera ministerial.</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Subraya que la circunstancia que deba adoptar todas las medidas para evitar daños a terceros y de otorgar seguridad a quienes transitan por la vía concesionada no cambia el sistema de responsabilidad extracontractual.</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Precisa que aun si existiere responsabilidad objetiva no es posible imputársela, ya que la conducta que se le reprocha no es antijurídica y no existe relación causal.</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lastRenderedPageBreak/>
        <w:t>Refuerza lo señalado al imputar la infracción de los artículos 1437, 2284 y 2314 del Código Civil por omisión en su aplicación al caso, por cuanto la concesionaria responde a los usuarios bajo la regla general de la responsabilidad subjetiva.</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Que en un cuarto capítulo del recurso el impugnante invoca el quebrantamiento de los artículos 19, 22 y 2326 del Código Civil, en relación con los artículos 165 Nº 11 y 198 Nº 23 de la Ley 18.290 y 21 inciso 2º del D.F.L. 164 del Ministerio de Obras Públicas.</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 xml:space="preserve">Argumenta que la sentencia no consideró que los tramos concesionados son caminos públicos y conforme a lo estatuido por el artículo 598 del Código Civil, el uso y goce para el tránsito de un bien nacional de uso público se rige por el Código Civil y por las ordenanzas generales o particulares, norma que no fue modificada al dictarse la </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En esta línea argumental, asevera que la responsabilidad por los daños provocados por animales recae sobre el dueño del animal o quien se sirve de él, de acuerdo al artículo 2326 del Código Civil y además a los artículos 165 Nº 11 y 198 Nº 23 de la Ley de Tránsito que sanciona al que tiene animales sueltos en la vía pública.</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 xml:space="preserve"> Que, finalmente, atribuye un quinto error de derecho al fallo cuya invalidez pretende, la infracción del artículo 1546 del Código Civil en relación con los artículos 19, 21 inciso primero y 23 del D.F.L. Nº 164, Ley de Concesiones de Obras Públicas.</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Expone que la sentencia se equivoca al considerar que es obligación de la concesionaria instalar barreras y realizar todas aquellas obras necesarias para el cumplimiento oportuno de la obligación de otorgar seguridad a los usuarios que se sirvan de la concesión; además, razona que quien la explota es quien tiene el deber de mantener el camino en términos tales de no producir daños a quienes por él transiten normalmente, concluyendo que es responsabilidad del concesionario realizar todas las obras, adoptar todas las prevenciones y tomar todos los resguardos que las especiales características del camino o autopista y su entorno requieran para el normal cumplimiento de su obligación, cual es permitir que los usuarios circulen por la vía con total seguridad.</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Que señalando la influencia de los errores en lo dispositivo del fallo, expresa que de no haberse incurrido en ellos se debió revocar la sentencia de primera instancia y rechazar la demanda deducida en su contra.</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Que descartada la infracción de las normas que el recurso denomina reguladoras de la prueba, conviene señalar que los jueces de la causa establecieron la siguiente situación fáctica:</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proofErr w:type="gramStart"/>
      <w:r w:rsidRPr="00304F1E">
        <w:rPr>
          <w:rFonts w:ascii="Times New Roman" w:hAnsi="Times New Roman" w:cs="Times New Roman"/>
          <w:sz w:val="24"/>
          <w:szCs w:val="24"/>
        </w:rPr>
        <w:t>1.–</w:t>
      </w:r>
      <w:proofErr w:type="gramEnd"/>
      <w:r w:rsidRPr="00304F1E">
        <w:rPr>
          <w:rFonts w:ascii="Times New Roman" w:hAnsi="Times New Roman" w:cs="Times New Roman"/>
          <w:sz w:val="24"/>
          <w:szCs w:val="24"/>
        </w:rPr>
        <w:t xml:space="preserve"> El día 19 de mayo de 2002 ocurrió un accidente en las cercanías del kilómetro 240 de la Ruta 5 Sur, aproximadamente a las 6,30 horas (considerando 6º de la sentencia de primer grado); </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proofErr w:type="gramStart"/>
      <w:r w:rsidRPr="00304F1E">
        <w:rPr>
          <w:rFonts w:ascii="Times New Roman" w:hAnsi="Times New Roman" w:cs="Times New Roman"/>
          <w:sz w:val="24"/>
          <w:szCs w:val="24"/>
        </w:rPr>
        <w:t>2.–</w:t>
      </w:r>
      <w:proofErr w:type="gramEnd"/>
      <w:r w:rsidRPr="00304F1E">
        <w:rPr>
          <w:rFonts w:ascii="Times New Roman" w:hAnsi="Times New Roman" w:cs="Times New Roman"/>
          <w:sz w:val="24"/>
          <w:szCs w:val="24"/>
        </w:rPr>
        <w:t xml:space="preserve"> Por dicho lugar circulaba Fidel Palma, quien conducía un camión marca Isuzu, patente PD 3403, en dirección norte sur acompañado por Patricio González Vergara (considerando 6º de la sentencia de primer grado); </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 xml:space="preserve">3.– En dicha oportunidad se le cruzaron dos caballos, a uno de los cuales embistió, provocando la caída y </w:t>
      </w:r>
      <w:proofErr w:type="spellStart"/>
      <w:r w:rsidRPr="00304F1E">
        <w:rPr>
          <w:rFonts w:ascii="Times New Roman" w:hAnsi="Times New Roman" w:cs="Times New Roman"/>
          <w:sz w:val="24"/>
          <w:szCs w:val="24"/>
        </w:rPr>
        <w:t>volcamiento</w:t>
      </w:r>
      <w:proofErr w:type="spellEnd"/>
      <w:r w:rsidRPr="00304F1E">
        <w:rPr>
          <w:rFonts w:ascii="Times New Roman" w:hAnsi="Times New Roman" w:cs="Times New Roman"/>
          <w:sz w:val="24"/>
          <w:szCs w:val="24"/>
        </w:rPr>
        <w:t xml:space="preserve"> del móvil, ocasionando la muerte del conductor a raíz de las graves lesiones sufridas, resultando su acompañante gravemente herido pero con vida (considerando 6º de la sentencia de primer grado); </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proofErr w:type="gramStart"/>
      <w:r w:rsidRPr="00304F1E">
        <w:rPr>
          <w:rFonts w:ascii="Times New Roman" w:hAnsi="Times New Roman" w:cs="Times New Roman"/>
          <w:sz w:val="24"/>
          <w:szCs w:val="24"/>
        </w:rPr>
        <w:t>4.–</w:t>
      </w:r>
      <w:proofErr w:type="gramEnd"/>
      <w:r w:rsidRPr="00304F1E">
        <w:rPr>
          <w:rFonts w:ascii="Times New Roman" w:hAnsi="Times New Roman" w:cs="Times New Roman"/>
          <w:sz w:val="24"/>
          <w:szCs w:val="24"/>
        </w:rPr>
        <w:t xml:space="preserve"> Los animales iban guiados por un ciclista (fundamento 4º del fallo de segunda instancia); </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proofErr w:type="gramStart"/>
      <w:r w:rsidRPr="00304F1E">
        <w:rPr>
          <w:rFonts w:ascii="Times New Roman" w:hAnsi="Times New Roman" w:cs="Times New Roman"/>
          <w:sz w:val="24"/>
          <w:szCs w:val="24"/>
        </w:rPr>
        <w:t>5.–</w:t>
      </w:r>
      <w:proofErr w:type="gramEnd"/>
      <w:r w:rsidRPr="00304F1E">
        <w:rPr>
          <w:rFonts w:ascii="Times New Roman" w:hAnsi="Times New Roman" w:cs="Times New Roman"/>
          <w:sz w:val="24"/>
          <w:szCs w:val="24"/>
        </w:rPr>
        <w:t xml:space="preserve"> No fue acreditado que en el accidente ocurrido el día 19 de mayo de 2002, entre los 115,90 y 118,90 metros al sur poniente de la pasarela peatonal Colonia </w:t>
      </w:r>
      <w:proofErr w:type="spellStart"/>
      <w:r w:rsidRPr="00304F1E">
        <w:rPr>
          <w:rFonts w:ascii="Times New Roman" w:hAnsi="Times New Roman" w:cs="Times New Roman"/>
          <w:sz w:val="24"/>
          <w:szCs w:val="24"/>
        </w:rPr>
        <w:t>Panguilemito</w:t>
      </w:r>
      <w:proofErr w:type="spellEnd"/>
      <w:r w:rsidRPr="00304F1E">
        <w:rPr>
          <w:rFonts w:ascii="Times New Roman" w:hAnsi="Times New Roman" w:cs="Times New Roman"/>
          <w:sz w:val="24"/>
          <w:szCs w:val="24"/>
        </w:rPr>
        <w:t>, Km. 239,400, comuna de San Rafael, a las 6,30 aproximadamente, en el que murió producto de las lesiones sufridas Fidel Antonio Palma Valencia, éste haya ido sin cinturón de seguridad, a exceso de velocidad o exponiéndose innecesariamente al riesgo (basamento 18º del fallo de primer grado).</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Que sobre la base de tales presupuestos fácticos el juez de la causa concluyó que queda en evidencia la responsabilidad que le cabe a la sociedad demandada al no existir constancia en autos de la debida vigilancia y medidas de seguridad adoptadas por ella; y que no guarda relevancia que los caballares hubieren sido robados a su dueño (considerando 18º de la sentencia de primera instancia).</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Asimismo, se concluye por los magistrados de la instancia que es propio de la obligación de la concesionaria no solamente instalar barreras, sino que realizar todas las obras necesarias para el cumplimiento oportuno de otorgar seguridad a los usuarios que se sirvan de la concesión. Agregan más adelante que es responsabilidad del concesionario realizar todas las obras, adoptar todas las prevenciones y tomar todos los resguardos que las especiales características del camino o autopista y su entorno requieran para el normal cumplimiento de su obligación, cual es permitir que los usuarios circulen por tal vía con total seguridad.</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Que lo expresado es relevante para los efectos de estudiar los siguientes capítulos del recurso de nulidad sustancial, porque a pesar de haber señalado los jueces del fondo que en el presente caso se trataba de atribución de responsabilidad objetiva, lo cierto es que los razonamientos esgrimidos guardan relación directa con el análisis de un presupuesto de la responsabilidad extracontractual fundada en las normas del derecho común, esto es, la ocurrencia de un hecho ilícito consistente en el incumplimiento de deberes de cuidado, particularmente del deber de seguridad que le era exigible a la demandada y que no es sino afirmar que existiría culpa en la responsabilidad.</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 xml:space="preserve"> Que considerado lo que se ha manifestado en la motivación 31º, cabe analizar si es efectivo que se infringen las normas sobre responsabilidad </w:t>
      </w:r>
      <w:proofErr w:type="spellStart"/>
      <w:r w:rsidRPr="00304F1E">
        <w:rPr>
          <w:rFonts w:ascii="Times New Roman" w:hAnsi="Times New Roman" w:cs="Times New Roman"/>
          <w:sz w:val="24"/>
          <w:szCs w:val="24"/>
        </w:rPr>
        <w:t>aquiliana</w:t>
      </w:r>
      <w:proofErr w:type="spellEnd"/>
      <w:r w:rsidRPr="00304F1E">
        <w:rPr>
          <w:rFonts w:ascii="Times New Roman" w:hAnsi="Times New Roman" w:cs="Times New Roman"/>
          <w:sz w:val="24"/>
          <w:szCs w:val="24"/>
        </w:rPr>
        <w:t>, partiendo del planteamiento formulado por los jueces del mérito en orden a que la sociedad concesionaria incumplió una obligación de seguridad que le era exigible, específicamente el deber de implementar barreras laterales en la ruta concesionada.</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 xml:space="preserve">Al respecto es necesario señalar que el artículo 23 del D.F.L. 164, Ley de Concesiones de Obras Públicas, expresa que es obligación de la sociedad concesionaria la de conservar las </w:t>
      </w:r>
      <w:r w:rsidRPr="00304F1E">
        <w:rPr>
          <w:rFonts w:ascii="Times New Roman" w:hAnsi="Times New Roman" w:cs="Times New Roman"/>
          <w:sz w:val="24"/>
          <w:szCs w:val="24"/>
        </w:rPr>
        <w:lastRenderedPageBreak/>
        <w:t>obras, sus accesos, señalización y servicios en condiciones normales de utilización, facilitar la continuidad de la prestación del servicio en absoluta normalidad, suprimiendo las causas que originen molestias, incomodidades, inconvenientes o peligrosidad a los usuarios de las obras, salvo que la adopción de medidas que alteren la normalidad del servicio obedezcan a razones de seguridad o de urgente reparación y a prestar ininterrumpidamente el servicio, salvo situaciones excepcionales debidas a caso fortuito o fuerza mayor.</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Esta regla guarda correspondencia con la pauta normativa y técnica entregada por la Dirección de Vialidad en el Manual de Carreteras, que establece en el punto 3.802.3 que "Sea en curva o en recta se debe considerar la instalación de defensas; si existe una posibilidad de accidente o si la altura del terraplén o en el terreno abrupto provocan una sensación de inseguridad en el conductor". Destaca: "Los sectores que pueden presentar condiciones adversas de neblina, hielo o nieve o sectores de camino con tránsito de alta velocidad o elevado volumen, justifican la consideración de defensas".</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 xml:space="preserve"> Que en dicha línea argumental, este Tribunal comparte el planteamiento enunciado por la sentencia de la Corte de Apelaciones de Santiago en cuanto efectivamente pesa sobre la sociedad concesionaria para con el usuario de una ruta concesionada la obligación de adoptar las medidas de seguridad necesarias para evitar la ocurrencia de accidentes en aquélla, la que en el caso que se analiza fue incumplida. En efecto, como lo expone el fallo impugnado, existía un deber de implementar barreras laterales, resguardo que era necesario en razón de lo que se puntualiza por los jueces, esto es, considerando las especiales características del camino o autopista y su entorno.</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 xml:space="preserve"> Que, de otra parte, la sentencia cuya invalidez se pretende evidencia que hay vínculo causal entre el incumplimiento del deber de seguridad y el daño ocurrido, reflejado inmediatamente en la muerte del conductor.</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Lo expresado revela que aunque fuere cierto el sustento fáctico de lo que se propugna en el recurso en el cuarto capítulo, esto es, que existan otros agentes causales del daño –como el propietario del animal embestido por el camión o el ciclista que tiraba de los caballos– ello no es óbice para determinar que la sociedad concesionaria también es obligada a la indemnización por existir una concurrencia de causas o, en otras palabras, pluralidad de responsables.</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Por ello, no es efectivo que se haya cometido error de derecho respecto a las normas de responsabilidad extracontractual.</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 xml:space="preserve"> Que en el último capítulo del recurso de nulidad se sostiene que es un error considerar que es obligación de la concesionaria instalar barreras y realizar todas aquellas obras necesarias para el cumplimiento oportuno de la obligación de otorgar seguridad a los usuarios basado ello en una extensión de los efectos del contrato de concesión invocando el artículo 1546 del Código Civil.</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 xml:space="preserve">Con arreglo a lo que se ha razonado a lo largo de este fallo, es inequívoco que en la sociedad demandada recae el deber de seguridad en la explotación y conservación de las rutas concesionadas, traducido en la especie en la implementación de barreras laterales </w:t>
      </w:r>
      <w:r w:rsidRPr="00304F1E">
        <w:rPr>
          <w:rFonts w:ascii="Times New Roman" w:hAnsi="Times New Roman" w:cs="Times New Roman"/>
          <w:sz w:val="24"/>
          <w:szCs w:val="24"/>
        </w:rPr>
        <w:lastRenderedPageBreak/>
        <w:t>consideradas las particulares características del tramo en que ocurrió el accidente y su entorno –conclusión a la que en definitiva llega el fallo impugnado–, obligación que como se ha visto nace del artículo 23 del D.F.L. 160 en correspondencia con las pautas normativas y técnicas entregadas en el Manual de Carreteras. En esas circunstancias, no resulta efectivo el yerro que se atribuye en el capítulo aludido.</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 xml:space="preserve">Que en virtud de los razonamientos expresados, cabe concluir que en el presente caso asiste responsabilidad extracontractual a la sociedad demandada, tal como lo decidieron los jueces del fondo; y que, por lo tanto, pese al yerro jurídico de haber señalado que se trataba de una responsabilidad objetiva, éste no tiene la entidad bastante para alterar lo decidido, como </w:t>
      </w:r>
      <w:proofErr w:type="gramStart"/>
      <w:r w:rsidRPr="00304F1E">
        <w:rPr>
          <w:rFonts w:ascii="Times New Roman" w:hAnsi="Times New Roman" w:cs="Times New Roman"/>
          <w:sz w:val="24"/>
          <w:szCs w:val="24"/>
        </w:rPr>
        <w:t>quiera</w:t>
      </w:r>
      <w:proofErr w:type="gramEnd"/>
      <w:r w:rsidRPr="00304F1E">
        <w:rPr>
          <w:rFonts w:ascii="Times New Roman" w:hAnsi="Times New Roman" w:cs="Times New Roman"/>
          <w:sz w:val="24"/>
          <w:szCs w:val="24"/>
        </w:rPr>
        <w:t xml:space="preserve"> que de la sentencia impugnada se colige que se incumplió un deber de cuidado que era jurídicamente exigible a la empresa concesionaria, que hubo relación de causalidad entre el hecho ilícito y el daño producido y que se ocasionaron los perjuicios que han sido finalmente determinados.</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 xml:space="preserve"> Que, en consecuencia, el recurso de casación en el fondo no podrá prosperar.</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Por estas consideraciones y visto además lo preceptuado en los artículos 764, 765, 766, 767, 768, 772, 785, 805 y 806 del Código de Procedimiento Civil, se rechazan los recursos de casación en la forma y en el fondo deducidos por la demandada Sociedad Ruta Cinco Tramo Talca Chillán S.A. en la presentación de fojas 1207 y el recurso de casación en la forma interpuesto por la parte demandante a fojas 1257 en contra de la sentencia de veintiuno de agosto de dos mil ocho, escrita a fojas 1194.</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Regístrese y devuélvase con sus agregados.</w:t>
      </w:r>
    </w:p>
    <w:p w:rsidR="00304F1E" w:rsidRPr="00304F1E" w:rsidRDefault="00304F1E" w:rsidP="00304F1E">
      <w:pPr>
        <w:spacing w:after="0" w:line="240" w:lineRule="auto"/>
        <w:jc w:val="both"/>
        <w:rPr>
          <w:rFonts w:ascii="Times New Roman" w:hAnsi="Times New Roman" w:cs="Times New Roman"/>
          <w:sz w:val="24"/>
          <w:szCs w:val="24"/>
        </w:rPr>
      </w:pPr>
    </w:p>
    <w:p w:rsidR="00304F1E"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Redacción a careo del Ministro señor Carreño.</w:t>
      </w:r>
    </w:p>
    <w:p w:rsidR="00304F1E" w:rsidRPr="00304F1E" w:rsidRDefault="00304F1E" w:rsidP="00304F1E">
      <w:pPr>
        <w:spacing w:after="0" w:line="240" w:lineRule="auto"/>
        <w:jc w:val="both"/>
        <w:rPr>
          <w:rFonts w:ascii="Times New Roman" w:hAnsi="Times New Roman" w:cs="Times New Roman"/>
          <w:sz w:val="24"/>
          <w:szCs w:val="24"/>
        </w:rPr>
      </w:pPr>
    </w:p>
    <w:p w:rsidR="000964B6" w:rsidRPr="00304F1E" w:rsidRDefault="00304F1E" w:rsidP="00304F1E">
      <w:pPr>
        <w:spacing w:after="0" w:line="240" w:lineRule="auto"/>
        <w:jc w:val="both"/>
        <w:rPr>
          <w:rFonts w:ascii="Times New Roman" w:hAnsi="Times New Roman" w:cs="Times New Roman"/>
          <w:sz w:val="24"/>
          <w:szCs w:val="24"/>
        </w:rPr>
      </w:pPr>
      <w:r w:rsidRPr="00304F1E">
        <w:rPr>
          <w:rFonts w:ascii="Times New Roman" w:hAnsi="Times New Roman" w:cs="Times New Roman"/>
          <w:sz w:val="24"/>
          <w:szCs w:val="24"/>
        </w:rPr>
        <w:t>Rol Nº 6.919–2008.</w:t>
      </w:r>
    </w:p>
    <w:sectPr w:rsidR="000964B6" w:rsidRPr="00304F1E" w:rsidSect="00980997">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4A537F"/>
    <w:rsid w:val="000964B6"/>
    <w:rsid w:val="00304F1E"/>
    <w:rsid w:val="004A537F"/>
    <w:rsid w:val="004B733B"/>
    <w:rsid w:val="00980997"/>
    <w:rsid w:val="00B70BC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99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3133</Words>
  <Characters>17233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monocos</dc:creator>
  <cp:lastModifiedBy>Valued Acer Customer</cp:lastModifiedBy>
  <cp:revision>2</cp:revision>
  <dcterms:created xsi:type="dcterms:W3CDTF">2011-04-18T13:00:00Z</dcterms:created>
  <dcterms:modified xsi:type="dcterms:W3CDTF">2011-04-18T13:00:00Z</dcterms:modified>
</cp:coreProperties>
</file>